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48234989"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6F0A4A">
        <w:rPr>
          <w:rFonts w:ascii="Times New Roman" w:hAnsi="Times New Roman" w:cs="Times New Roman"/>
          <w:sz w:val="24"/>
          <w:szCs w:val="24"/>
        </w:rPr>
        <w:t>SMLO-</w:t>
      </w:r>
      <w:r w:rsidR="00A33960">
        <w:rPr>
          <w:rFonts w:ascii="Times New Roman" w:hAnsi="Times New Roman" w:cs="Times New Roman"/>
          <w:sz w:val="24"/>
          <w:szCs w:val="24"/>
        </w:rPr>
        <w:t>150</w:t>
      </w:r>
      <w:r w:rsidR="00D64D8A" w:rsidRPr="006F0A4A">
        <w:rPr>
          <w:rFonts w:ascii="Times New Roman" w:hAnsi="Times New Roman" w:cs="Times New Roman"/>
          <w:sz w:val="24"/>
          <w:szCs w:val="24"/>
        </w:rPr>
        <w:t>/</w:t>
      </w:r>
      <w:r w:rsidR="00DC10AD" w:rsidRPr="006F0A4A">
        <w:rPr>
          <w:rFonts w:ascii="Times New Roman" w:hAnsi="Times New Roman" w:cs="Times New Roman"/>
          <w:sz w:val="24"/>
          <w:szCs w:val="24"/>
        </w:rPr>
        <w:t>1073/OST/20/202</w:t>
      </w:r>
      <w:r w:rsidR="00763383" w:rsidRPr="006F0A4A">
        <w:rPr>
          <w:rFonts w:ascii="Times New Roman" w:hAnsi="Times New Roman" w:cs="Times New Roman"/>
          <w:sz w:val="24"/>
          <w:szCs w:val="24"/>
        </w:rPr>
        <w:t>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19CCA0D7" w:rsidR="00304E4C" w:rsidRPr="00505E07" w:rsidRDefault="00304E4C" w:rsidP="00304E4C">
      <w:pPr>
        <w:spacing w:before="360" w:after="360" w:line="276" w:lineRule="auto"/>
        <w:jc w:val="center"/>
        <w:rPr>
          <w:rFonts w:ascii="Times New Roman" w:hAnsi="Times New Roman" w:cs="Times New Roman"/>
          <w:b/>
          <w:sz w:val="32"/>
          <w:szCs w:val="32"/>
        </w:rPr>
      </w:pPr>
      <w:r w:rsidRPr="004440EE">
        <w:rPr>
          <w:rFonts w:ascii="Times New Roman" w:hAnsi="Times New Roman" w:cs="Times New Roman"/>
          <w:b/>
        </w:rPr>
        <w:t>„</w:t>
      </w:r>
      <w:bookmarkStart w:id="0" w:name="_Hlk100493935"/>
      <w:bookmarkStart w:id="1" w:name="_Hlk100731281"/>
      <w:r w:rsidR="004440EE" w:rsidRPr="004440EE">
        <w:rPr>
          <w:rFonts w:ascii="Times New Roman" w:hAnsi="Times New Roman" w:cs="Times New Roman"/>
          <w:b/>
        </w:rPr>
        <w:t xml:space="preserve">Most ev.č.324-018 P. </w:t>
      </w:r>
      <w:proofErr w:type="spellStart"/>
      <w:r w:rsidR="004440EE" w:rsidRPr="004440EE">
        <w:rPr>
          <w:rFonts w:ascii="Times New Roman" w:hAnsi="Times New Roman" w:cs="Times New Roman"/>
          <w:b/>
        </w:rPr>
        <w:t>Wonky</w:t>
      </w:r>
      <w:proofErr w:type="spellEnd"/>
      <w:r w:rsidR="004440EE" w:rsidRPr="004440EE">
        <w:rPr>
          <w:rFonts w:ascii="Times New Roman" w:hAnsi="Times New Roman" w:cs="Times New Roman"/>
          <w:b/>
        </w:rPr>
        <w:t>, Pardubice, činnost TDS a BIM koordinátora</w:t>
      </w:r>
      <w:bookmarkEnd w:id="0"/>
      <w:bookmarkEnd w:id="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6A52CA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29AEBC4A" w14:textId="5BE5DD5F" w:rsidR="006F0A4A" w:rsidRPr="002D37C5" w:rsidRDefault="006F0A4A"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3C462C">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2869E0A1"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 jmenovaný </w:t>
      </w:r>
      <w:r w:rsidR="00763383">
        <w:rPr>
          <w:rFonts w:ascii="Times New Roman" w:hAnsi="Times New Roman" w:cs="Times New Roman"/>
          <w:sz w:val="24"/>
          <w:szCs w:val="24"/>
        </w:rPr>
        <w:t xml:space="preserve">2. </w:t>
      </w:r>
      <w:r w:rsidR="008526D8">
        <w:rPr>
          <w:rFonts w:ascii="Times New Roman" w:hAnsi="Times New Roman" w:cs="Times New Roman"/>
          <w:sz w:val="24"/>
          <w:szCs w:val="24"/>
        </w:rPr>
        <w:t>zástupce statutárního orgánu</w:t>
      </w:r>
    </w:p>
    <w:p w14:paraId="20792D3B" w14:textId="00DB523D"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763383">
        <w:rPr>
          <w:rFonts w:ascii="Times New Roman" w:hAnsi="Times New Roman" w:cs="Times New Roman"/>
          <w:sz w:val="24"/>
          <w:szCs w:val="24"/>
        </w:rPr>
        <w:t>,</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6AD9BB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Správce stavby, </w:t>
      </w:r>
      <w:proofErr w:type="spellStart"/>
      <w:r w:rsidR="001931E1" w:rsidRPr="001931E1">
        <w:rPr>
          <w:rFonts w:ascii="Times New Roman" w:hAnsi="Times New Roman" w:cs="Times New Roman"/>
          <w:sz w:val="24"/>
          <w:szCs w:val="24"/>
        </w:rPr>
        <w:t>cost</w:t>
      </w:r>
      <w:proofErr w:type="spellEnd"/>
      <w:r w:rsidR="001931E1" w:rsidRPr="001931E1">
        <w:rPr>
          <w:rFonts w:ascii="Times New Roman" w:hAnsi="Times New Roman" w:cs="Times New Roman"/>
          <w:sz w:val="24"/>
          <w:szCs w:val="24"/>
        </w:rPr>
        <w:t xml:space="preserve"> management a </w:t>
      </w:r>
      <w:proofErr w:type="spellStart"/>
      <w:r w:rsidR="001931E1" w:rsidRPr="001931E1">
        <w:rPr>
          <w:rFonts w:ascii="Times New Roman" w:hAnsi="Times New Roman" w:cs="Times New Roman"/>
          <w:sz w:val="24"/>
          <w:szCs w:val="24"/>
        </w:rPr>
        <w:t>claim</w:t>
      </w:r>
      <w:proofErr w:type="spellEnd"/>
      <w:r w:rsidR="001931E1" w:rsidRPr="001931E1">
        <w:rPr>
          <w:rFonts w:ascii="Times New Roman" w:hAnsi="Times New Roman" w:cs="Times New Roman"/>
          <w:sz w:val="24"/>
          <w:szCs w:val="24"/>
        </w:rPr>
        <w:t xml:space="preserve"> management stavby</w:t>
      </w:r>
      <w:r>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supervize,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5DC90F2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4440EE">
        <w:rPr>
          <w:rFonts w:ascii="Times New Roman" w:hAnsi="Times New Roman" w:cs="Times New Roman"/>
          <w:sz w:val="24"/>
          <w:szCs w:val="24"/>
        </w:rPr>
        <w:t>2</w:t>
      </w:r>
      <w:r w:rsidR="00B425D7">
        <w:rPr>
          <w:rFonts w:ascii="Times New Roman" w:hAnsi="Times New Roman" w:cs="Times New Roman"/>
          <w:sz w:val="24"/>
          <w:szCs w:val="24"/>
        </w:rPr>
        <w:t>0</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w:t>
      </w:r>
      <w:r w:rsidRPr="00494A7E">
        <w:rPr>
          <w:rFonts w:ascii="Times New Roman" w:hAnsi="Times New Roman" w:cs="Times New Roman"/>
          <w:sz w:val="24"/>
          <w:szCs w:val="24"/>
        </w:rPr>
        <w:lastRenderedPageBreak/>
        <w:t xml:space="preserve">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E5A8564"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6DD56878" w14:textId="77777777" w:rsidR="006F0A4A" w:rsidRPr="00540E11" w:rsidRDefault="006F0A4A" w:rsidP="006F0A4A">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w:t>
      </w:r>
      <w:proofErr w:type="gramStart"/>
      <w:r w:rsidRPr="00540E11">
        <w:rPr>
          <w:szCs w:val="24"/>
        </w:rPr>
        <w:t>je  součástí</w:t>
      </w:r>
      <w:proofErr w:type="gramEnd"/>
      <w:r w:rsidRPr="00540E11">
        <w:rPr>
          <w:szCs w:val="24"/>
        </w:rPr>
        <w:t xml:space="preserve">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330FDDD2" w14:textId="77777777" w:rsidR="00474C3B" w:rsidRPr="00474C3B" w:rsidRDefault="00474C3B"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5B0DE1A8"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0EE">
        <w:rPr>
          <w:rFonts w:ascii="Times New Roman" w:hAnsi="Times New Roman" w:cs="Times New Roman"/>
          <w:sz w:val="24"/>
          <w:szCs w:val="24"/>
        </w:rPr>
        <w:t>2</w:t>
      </w:r>
      <w:r w:rsidR="00B425D7">
        <w:rPr>
          <w:rFonts w:ascii="Times New Roman" w:hAnsi="Times New Roman" w:cs="Times New Roman"/>
          <w:sz w:val="24"/>
          <w:szCs w:val="24"/>
        </w:rPr>
        <w:t>0</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3FFCE72C"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4D2308">
        <w:rPr>
          <w:rFonts w:ascii="Times New Roman" w:hAnsi="Times New Roman" w:cs="Times New Roman"/>
          <w:sz w:val="24"/>
          <w:szCs w:val="24"/>
        </w:rPr>
        <w:t>3</w:t>
      </w:r>
      <w:r w:rsidR="004440EE">
        <w:rPr>
          <w:rFonts w:ascii="Times New Roman" w:hAnsi="Times New Roman" w:cs="Times New Roman"/>
          <w:sz w:val="24"/>
          <w:szCs w:val="24"/>
        </w:rPr>
        <w:t>,</w:t>
      </w:r>
      <w:r w:rsidR="001931E1">
        <w:rPr>
          <w:rFonts w:ascii="Times New Roman" w:hAnsi="Times New Roman" w:cs="Times New Roman"/>
          <w:sz w:val="24"/>
          <w:szCs w:val="24"/>
        </w:rPr>
        <w:t xml:space="preserve"> 202</w:t>
      </w:r>
      <w:r w:rsidR="004D2308">
        <w:rPr>
          <w:rFonts w:ascii="Times New Roman" w:hAnsi="Times New Roman" w:cs="Times New Roman"/>
          <w:sz w:val="24"/>
          <w:szCs w:val="24"/>
        </w:rPr>
        <w:t>4</w:t>
      </w:r>
      <w:r w:rsidRPr="003B32D8">
        <w:rPr>
          <w:rFonts w:ascii="Times New Roman" w:hAnsi="Times New Roman" w:cs="Times New Roman"/>
          <w:sz w:val="24"/>
          <w:szCs w:val="24"/>
        </w:rPr>
        <w:t xml:space="preserve"> </w:t>
      </w:r>
      <w:r w:rsidR="004440EE">
        <w:rPr>
          <w:rFonts w:ascii="Times New Roman" w:hAnsi="Times New Roman" w:cs="Times New Roman"/>
          <w:sz w:val="24"/>
          <w:szCs w:val="24"/>
        </w:rPr>
        <w:t xml:space="preserve">a 2025 </w:t>
      </w:r>
      <w:r w:rsidRPr="003B32D8">
        <w:rPr>
          <w:rFonts w:ascii="Times New Roman" w:hAnsi="Times New Roman" w:cs="Times New Roman"/>
          <w:sz w:val="24"/>
          <w:szCs w:val="24"/>
        </w:rPr>
        <w:t>přináleží Státnímu fondu dopravní infrastruktury právo na zajišťování veškerých podkladů a údajů nutných pro kontrolu hospodárného, účelného a efektivního nakládání s účelově poskytnutými finančními prostředky u Zhotovitele.</w:t>
      </w:r>
    </w:p>
    <w:p w14:paraId="639D6F57" w14:textId="77777777" w:rsidR="006F0A4A" w:rsidRPr="00505E07" w:rsidRDefault="006F0A4A" w:rsidP="006F0A4A">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proofErr w:type="gramStart"/>
      <w:r>
        <w:rPr>
          <w:rFonts w:ascii="Times New Roman" w:hAnsi="Times New Roman" w:cs="Times New Roman"/>
          <w:sz w:val="24"/>
          <w:szCs w:val="24"/>
        </w:rPr>
        <w:t>přičemž  obě</w:t>
      </w:r>
      <w:proofErr w:type="gramEnd"/>
      <w:r>
        <w:rPr>
          <w:rFonts w:ascii="Times New Roman" w:hAnsi="Times New Roman" w:cs="Times New Roman"/>
          <w:sz w:val="24"/>
          <w:szCs w:val="24"/>
        </w:rPr>
        <w:t xml:space="preserve">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1BEE3633"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0D2DAD1D"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1FEC6F9D"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49337879"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12DD462F"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494D27F8"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032F8F64"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5E216A61" w14:textId="77777777" w:rsidR="006F0A4A" w:rsidRDefault="006F0A4A"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9F0836C" w14:textId="529CA2E1"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lastRenderedPageBreak/>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B129A" w14:textId="77777777" w:rsidR="00651BFE" w:rsidRDefault="00651BFE" w:rsidP="00A3112D">
      <w:pPr>
        <w:spacing w:after="0" w:line="240" w:lineRule="auto"/>
      </w:pPr>
      <w:r>
        <w:separator/>
      </w:r>
    </w:p>
  </w:endnote>
  <w:endnote w:type="continuationSeparator" w:id="0">
    <w:p w14:paraId="074FAC28" w14:textId="77777777" w:rsidR="00651BFE" w:rsidRDefault="00651BFE"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B28C0" w14:textId="77777777" w:rsidR="00651BFE" w:rsidRDefault="00651BFE" w:rsidP="00A3112D">
      <w:pPr>
        <w:spacing w:after="0" w:line="240" w:lineRule="auto"/>
      </w:pPr>
      <w:r>
        <w:separator/>
      </w:r>
    </w:p>
  </w:footnote>
  <w:footnote w:type="continuationSeparator" w:id="0">
    <w:p w14:paraId="1B5BA094" w14:textId="77777777" w:rsidR="00651BFE" w:rsidRDefault="00651BFE"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6797"/>
    <w:rsid w:val="00187017"/>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40EE"/>
    <w:rsid w:val="004662B4"/>
    <w:rsid w:val="004717ED"/>
    <w:rsid w:val="004718B5"/>
    <w:rsid w:val="00474C3B"/>
    <w:rsid w:val="0047619D"/>
    <w:rsid w:val="00481CA9"/>
    <w:rsid w:val="00486B75"/>
    <w:rsid w:val="004903BE"/>
    <w:rsid w:val="004917B6"/>
    <w:rsid w:val="00494A7E"/>
    <w:rsid w:val="00494E55"/>
    <w:rsid w:val="004B22F6"/>
    <w:rsid w:val="004C4F44"/>
    <w:rsid w:val="004D2308"/>
    <w:rsid w:val="004F2A33"/>
    <w:rsid w:val="004F601F"/>
    <w:rsid w:val="004F7F07"/>
    <w:rsid w:val="00501932"/>
    <w:rsid w:val="00505903"/>
    <w:rsid w:val="00505E07"/>
    <w:rsid w:val="00506B29"/>
    <w:rsid w:val="0051318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51BFE"/>
    <w:rsid w:val="00670FE5"/>
    <w:rsid w:val="00674235"/>
    <w:rsid w:val="00683AB4"/>
    <w:rsid w:val="00685B55"/>
    <w:rsid w:val="006903CF"/>
    <w:rsid w:val="00691D95"/>
    <w:rsid w:val="00697385"/>
    <w:rsid w:val="006A62A1"/>
    <w:rsid w:val="006C2E6B"/>
    <w:rsid w:val="006F0A4A"/>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23442"/>
    <w:rsid w:val="00A3112D"/>
    <w:rsid w:val="00A33960"/>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654"/>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6F0A4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2304</Words>
  <Characters>13598</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6</cp:revision>
  <cp:lastPrinted>2023-06-05T06:05:00Z</cp:lastPrinted>
  <dcterms:created xsi:type="dcterms:W3CDTF">2023-06-03T12:32:00Z</dcterms:created>
  <dcterms:modified xsi:type="dcterms:W3CDTF">2023-06-05T06:05:00Z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